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0" w:rsidRDefault="00D63F20" w:rsidP="00D63F20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300F5F" w:rsidRDefault="0059373C" w:rsidP="0059373C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Rosa </w:t>
      </w:r>
      <w:proofErr w:type="spellStart"/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>Caniego</w:t>
      </w:r>
      <w:proofErr w:type="spellEnd"/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Ruiz, nueva Directora de Comunicación y Relaciones Institucionales de Fiat Chrysler </w:t>
      </w:r>
      <w:proofErr w:type="spellStart"/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>Automobiles</w:t>
      </w:r>
      <w:proofErr w:type="spellEnd"/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proofErr w:type="spellStart"/>
      <w:r w:rsidRPr="0059373C">
        <w:rPr>
          <w:rFonts w:ascii="Gill Sans MT" w:hAnsi="Gill Sans MT"/>
          <w:color w:val="000000" w:themeColor="text1"/>
          <w:sz w:val="36"/>
          <w:szCs w:val="36"/>
          <w:lang w:val="es-ES"/>
        </w:rPr>
        <w:t>Spain</w:t>
      </w:r>
      <w:proofErr w:type="spellEnd"/>
    </w:p>
    <w:p w:rsidR="0059373C" w:rsidRPr="0059373C" w:rsidRDefault="0059373C" w:rsidP="0059373C">
      <w:pPr>
        <w:pStyle w:val="NormalWeb"/>
        <w:spacing w:line="360" w:lineRule="auto"/>
        <w:jc w:val="both"/>
        <w:rPr>
          <w:rStyle w:val="Textoennegrita"/>
          <w:rFonts w:ascii="Calibri" w:hAnsi="Calibri" w:cs="Arial"/>
          <w:color w:val="000000" w:themeColor="text1"/>
          <w:sz w:val="22"/>
          <w:szCs w:val="22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 xml:space="preserve">• Rosa </w:t>
      </w:r>
      <w:proofErr w:type="spellStart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>Caniego</w:t>
      </w:r>
      <w:proofErr w:type="spellEnd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 xml:space="preserve"> Ruiz se incorpora al Consejo de Dirección de FCA </w:t>
      </w:r>
      <w:proofErr w:type="spellStart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>Spain</w:t>
      </w:r>
      <w:proofErr w:type="spellEnd"/>
      <w:r w:rsidRPr="0059373C">
        <w:rPr>
          <w:rStyle w:val="Textoennegrita"/>
          <w:rFonts w:ascii="Calibri" w:hAnsi="Calibri" w:cs="Arial"/>
          <w:color w:val="000000" w:themeColor="text1"/>
          <w:sz w:val="22"/>
          <w:szCs w:val="22"/>
        </w:rPr>
        <w:t xml:space="preserve"> como Directora de Comunicación y Relaciones Institucionales.</w:t>
      </w:r>
    </w:p>
    <w:p w:rsidR="00EB4C70" w:rsidRPr="00EB4C70" w:rsidRDefault="00EB4C70" w:rsidP="00EB4C70">
      <w:pPr>
        <w:pStyle w:val="Prrafodelista1"/>
        <w:spacing w:line="360" w:lineRule="auto"/>
        <w:ind w:left="709" w:right="566"/>
        <w:jc w:val="both"/>
        <w:rPr>
          <w:b/>
          <w:bCs/>
        </w:rPr>
      </w:pPr>
    </w:p>
    <w:bookmarkEnd w:id="6"/>
    <w:bookmarkEnd w:id="7"/>
    <w:bookmarkEnd w:id="8"/>
    <w:bookmarkEnd w:id="9"/>
    <w:bookmarkEnd w:id="10"/>
    <w:bookmarkEnd w:id="11"/>
    <w:p w:rsidR="0059373C" w:rsidRPr="0059373C" w:rsidRDefault="00D63F20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Alcalá de Henares, </w:t>
      </w:r>
      <w:r w:rsidR="00872176" w:rsidRPr="0059373C">
        <w:rPr>
          <w:rFonts w:ascii="Calibri" w:hAnsi="Calibri" w:cs="Arial"/>
          <w:b/>
          <w:color w:val="000000" w:themeColor="text1"/>
          <w:sz w:val="22"/>
          <w:szCs w:val="22"/>
        </w:rPr>
        <w:t>10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</w:t>
      </w:r>
      <w:r w:rsidR="00300F5F" w:rsidRPr="0059373C">
        <w:rPr>
          <w:rFonts w:ascii="Calibri" w:hAnsi="Calibri" w:cs="Arial"/>
          <w:b/>
          <w:color w:val="000000" w:themeColor="text1"/>
          <w:sz w:val="22"/>
          <w:szCs w:val="22"/>
        </w:rPr>
        <w:t>mayo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 xml:space="preserve"> de 201</w:t>
      </w:r>
      <w:r w:rsidR="00300F5F" w:rsidRPr="0059373C">
        <w:rPr>
          <w:rFonts w:ascii="Calibri" w:hAnsi="Calibri" w:cs="Arial"/>
          <w:b/>
          <w:color w:val="000000" w:themeColor="text1"/>
          <w:sz w:val="22"/>
          <w:szCs w:val="22"/>
        </w:rPr>
        <w:t>7</w:t>
      </w:r>
      <w:r w:rsidRPr="0059373C">
        <w:rPr>
          <w:rFonts w:ascii="Calibri" w:hAnsi="Calibri" w:cs="Arial"/>
          <w:b/>
          <w:color w:val="000000" w:themeColor="text1"/>
          <w:sz w:val="22"/>
          <w:szCs w:val="22"/>
        </w:rPr>
        <w:t>.-</w:t>
      </w:r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Dña. Rosa </w:t>
      </w:r>
      <w:proofErr w:type="spellStart"/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>Caniego</w:t>
      </w:r>
      <w:proofErr w:type="spellEnd"/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 Ruiz (Madrid, 1973) ha sido nombrada nueva Directora de Comunicación y Relaciones Institucionales de las marcas de FCA </w:t>
      </w:r>
      <w:proofErr w:type="spellStart"/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>Spain</w:t>
      </w:r>
      <w:proofErr w:type="spellEnd"/>
      <w:r w:rsidR="0059373C" w:rsidRPr="0059373C">
        <w:rPr>
          <w:rFonts w:ascii="Calibri" w:hAnsi="Calibri" w:cs="Arial"/>
          <w:color w:val="000000" w:themeColor="text1"/>
          <w:sz w:val="22"/>
          <w:szCs w:val="22"/>
        </w:rPr>
        <w:t xml:space="preserve">. 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Licenciada en Ciencias de la Información por la Universidad Complutense de Madrid, se incorpora a FCA </w:t>
      </w:r>
      <w:proofErr w:type="spellStart"/>
      <w:r w:rsidRPr="0059373C">
        <w:rPr>
          <w:rFonts w:ascii="Calibri" w:hAnsi="Calibri" w:cs="Arial"/>
          <w:color w:val="000000" w:themeColor="text1"/>
          <w:sz w:val="22"/>
          <w:szCs w:val="22"/>
        </w:rPr>
        <w:t>Spain</w:t>
      </w:r>
      <w:proofErr w:type="spellEnd"/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 tras una dilatada trayectoria profesional en el sector del automóvil, que comenzó en 1990 en la Real Federación Española de Automovilismo, donde estuvo estrechamente vinculada al mundo de la competición y a los cometidos de prensa y comunicación durante 12 años.  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color w:val="000000" w:themeColor="text1"/>
          <w:sz w:val="22"/>
          <w:szCs w:val="22"/>
        </w:rPr>
        <w:t>En 2002, se une al ISR (Instituto para la Sostenibilidad de los Recursos) donde es nombrada Directora de Comunicación.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BMW </w:t>
      </w:r>
      <w:proofErr w:type="spellStart"/>
      <w:r w:rsidRPr="0059373C">
        <w:rPr>
          <w:rFonts w:ascii="Calibri" w:hAnsi="Calibri" w:cs="Arial"/>
          <w:color w:val="000000" w:themeColor="text1"/>
          <w:sz w:val="22"/>
          <w:szCs w:val="22"/>
        </w:rPr>
        <w:t>Group</w:t>
      </w:r>
      <w:proofErr w:type="spellEnd"/>
      <w:r w:rsidRPr="0059373C">
        <w:rPr>
          <w:rFonts w:ascii="Calibri" w:hAnsi="Calibri" w:cs="Arial"/>
          <w:color w:val="000000" w:themeColor="text1"/>
          <w:sz w:val="22"/>
          <w:szCs w:val="22"/>
        </w:rPr>
        <w:t xml:space="preserve"> España fue el siguiente reto profesional durante los siguientes 10 años para Rosa </w:t>
      </w:r>
      <w:proofErr w:type="spellStart"/>
      <w:r w:rsidRPr="0059373C">
        <w:rPr>
          <w:rFonts w:ascii="Calibri" w:hAnsi="Calibri" w:cs="Arial"/>
          <w:color w:val="000000" w:themeColor="text1"/>
          <w:sz w:val="22"/>
          <w:szCs w:val="22"/>
        </w:rPr>
        <w:t>Caniego</w:t>
      </w:r>
      <w:proofErr w:type="spellEnd"/>
      <w:r w:rsidRPr="0059373C">
        <w:rPr>
          <w:rFonts w:ascii="Calibri" w:hAnsi="Calibri" w:cs="Arial"/>
          <w:color w:val="000000" w:themeColor="text1"/>
          <w:sz w:val="22"/>
          <w:szCs w:val="22"/>
        </w:rPr>
        <w:t>, quién comenzó en esa compañía como Jefe de Prensa para posteriormente dirigir el área de comunicación como directora.</w:t>
      </w: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</w:p>
    <w:p w:rsidR="0059373C" w:rsidRPr="0059373C" w:rsidRDefault="0059373C" w:rsidP="0059373C">
      <w:pPr>
        <w:pStyle w:val="NormalWeb"/>
        <w:spacing w:line="360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59373C">
        <w:rPr>
          <w:rFonts w:ascii="Calibri" w:hAnsi="Calibri" w:cs="Arial"/>
          <w:color w:val="000000" w:themeColor="text1"/>
          <w:sz w:val="22"/>
          <w:szCs w:val="22"/>
        </w:rPr>
        <w:t>Su amplia experiencia en los sectores de automoción y comunicación, así como su contrastada profesionalidad representa una garantía de éxito en esta nueva etapa profesional dentro de FCA.</w:t>
      </w:r>
    </w:p>
    <w:p w:rsidR="00EC5F1D" w:rsidRPr="00CC52D3" w:rsidRDefault="00EC5F1D" w:rsidP="0059373C">
      <w:pPr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EC5F1D" w:rsidRPr="004538A2" w:rsidRDefault="00EC5F1D" w:rsidP="00927B9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EC5F1D" w:rsidRDefault="00EC5F1D" w:rsidP="00927B93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Para más información, por fa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vor, visite la web de prensa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en</w:t>
      </w:r>
      <w:r w:rsidR="00D63F2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 w:rsidR="0059373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EC5F1D" w:rsidRPr="00725E93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Rosa </w:t>
      </w:r>
      <w:proofErr w:type="spellStart"/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Caniego</w:t>
      </w:r>
      <w:proofErr w:type="spellEnd"/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Directora de Comunicación y Relaciones Institucionales de FCA </w:t>
      </w:r>
      <w:proofErr w:type="spellStart"/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</w:p>
    <w:p w:rsidR="009F4B66" w:rsidRPr="0059373C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9F4B66" w:rsidRPr="00725E93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725E9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Fiat Chrysler Automobiles Spain, S.A.</w:t>
      </w:r>
    </w:p>
    <w:p w:rsidR="009F4B66" w:rsidRPr="009F4B66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9F4B6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Avda. Madrid, 15 – 28802 Alcalá de Henares (Madrid)-Spain</w:t>
      </w:r>
    </w:p>
    <w:p w:rsidR="0059373C" w:rsidRPr="0059373C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Telephone: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91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885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07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proofErr w:type="spellStart"/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07</w:t>
      </w:r>
      <w:proofErr w:type="spellEnd"/>
    </w:p>
    <w:p w:rsidR="009F4B66" w:rsidRPr="004538A2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Mobile: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695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583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601</w:t>
      </w:r>
    </w:p>
    <w:p w:rsidR="009F4B66" w:rsidRPr="005F425F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Email: </w:t>
      </w:r>
      <w:hyperlink r:id="rId8" w:history="1">
        <w:r w:rsidR="0059373C" w:rsidRPr="0059373C">
          <w:rPr>
            <w:rFonts w:ascii="Arial" w:eastAsia="Calibri" w:hAnsi="Arial" w:cs="Arial"/>
            <w:b/>
            <w:bCs/>
            <w:color w:val="A6A6A6" w:themeColor="background1" w:themeShade="A6"/>
            <w:sz w:val="16"/>
            <w:szCs w:val="16"/>
            <w:lang w:val="en-US" w:eastAsia="it-IT"/>
          </w:rPr>
          <w:t>rosa.caniego@fcagroup.com</w:t>
        </w:r>
      </w:hyperlink>
    </w:p>
    <w:sectPr w:rsidR="009F4B66" w:rsidRPr="005F425F" w:rsidSect="0059373C">
      <w:headerReference w:type="default" r:id="rId9"/>
      <w:footerReference w:type="default" r:id="rId10"/>
      <w:pgSz w:w="11906" w:h="16838"/>
      <w:pgMar w:top="851" w:right="849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3C" w:rsidRDefault="0085633C" w:rsidP="0040727A">
      <w:r>
        <w:separator/>
      </w:r>
    </w:p>
  </w:endnote>
  <w:endnote w:type="continuationSeparator" w:id="0">
    <w:p w:rsidR="0085633C" w:rsidRDefault="0085633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71AF4" w:rsidRPr="00471AF4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471AF4" w:rsidRPr="00471AF4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71AF4" w:rsidRPr="00471AF4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3C" w:rsidRDefault="0085633C" w:rsidP="0040727A">
      <w:r>
        <w:separator/>
      </w:r>
    </w:p>
  </w:footnote>
  <w:footnote w:type="continuationSeparator" w:id="0">
    <w:p w:rsidR="0085633C" w:rsidRDefault="0085633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D76CF"/>
    <w:multiLevelType w:val="hybridMultilevel"/>
    <w:tmpl w:val="6C7EAD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41F0"/>
    <w:rsid w:val="000A7AA5"/>
    <w:rsid w:val="000C1DA1"/>
    <w:rsid w:val="000C4FF6"/>
    <w:rsid w:val="000C721D"/>
    <w:rsid w:val="000D09B5"/>
    <w:rsid w:val="000D5E04"/>
    <w:rsid w:val="000D61DA"/>
    <w:rsid w:val="000E2A1E"/>
    <w:rsid w:val="000F2A1F"/>
    <w:rsid w:val="00106F8B"/>
    <w:rsid w:val="00114A23"/>
    <w:rsid w:val="00117539"/>
    <w:rsid w:val="001224F3"/>
    <w:rsid w:val="00124B9F"/>
    <w:rsid w:val="0012609D"/>
    <w:rsid w:val="00127575"/>
    <w:rsid w:val="001326DF"/>
    <w:rsid w:val="00134D90"/>
    <w:rsid w:val="001355E8"/>
    <w:rsid w:val="00143BD2"/>
    <w:rsid w:val="00143F9C"/>
    <w:rsid w:val="00152E1F"/>
    <w:rsid w:val="001610FC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235A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0F5F"/>
    <w:rsid w:val="00301313"/>
    <w:rsid w:val="003060F3"/>
    <w:rsid w:val="003205CA"/>
    <w:rsid w:val="00336E14"/>
    <w:rsid w:val="00374618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46FD"/>
    <w:rsid w:val="00442286"/>
    <w:rsid w:val="004527B9"/>
    <w:rsid w:val="004538A2"/>
    <w:rsid w:val="00455008"/>
    <w:rsid w:val="00456F4F"/>
    <w:rsid w:val="004612E1"/>
    <w:rsid w:val="004623C4"/>
    <w:rsid w:val="00465FAA"/>
    <w:rsid w:val="00471AF4"/>
    <w:rsid w:val="004947D2"/>
    <w:rsid w:val="0049543E"/>
    <w:rsid w:val="00495FDB"/>
    <w:rsid w:val="004A382C"/>
    <w:rsid w:val="004B4360"/>
    <w:rsid w:val="004C2471"/>
    <w:rsid w:val="004C70FB"/>
    <w:rsid w:val="004D7DAB"/>
    <w:rsid w:val="004F5277"/>
    <w:rsid w:val="00512353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5B39"/>
    <w:rsid w:val="00562E81"/>
    <w:rsid w:val="0057401A"/>
    <w:rsid w:val="005769CF"/>
    <w:rsid w:val="00590E7F"/>
    <w:rsid w:val="0059373C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5E93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4139F"/>
    <w:rsid w:val="008524D7"/>
    <w:rsid w:val="0085633C"/>
    <w:rsid w:val="00872176"/>
    <w:rsid w:val="00873252"/>
    <w:rsid w:val="008749BF"/>
    <w:rsid w:val="0088159E"/>
    <w:rsid w:val="008E3A84"/>
    <w:rsid w:val="008E77B1"/>
    <w:rsid w:val="008E7DF0"/>
    <w:rsid w:val="008F35CB"/>
    <w:rsid w:val="008F404C"/>
    <w:rsid w:val="00922A3A"/>
    <w:rsid w:val="00923D1E"/>
    <w:rsid w:val="00927B93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927"/>
    <w:rsid w:val="009E6EC2"/>
    <w:rsid w:val="009F4B66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8649C"/>
    <w:rsid w:val="00A91968"/>
    <w:rsid w:val="00A95470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55A99"/>
    <w:rsid w:val="00C6192F"/>
    <w:rsid w:val="00C63F47"/>
    <w:rsid w:val="00C7419D"/>
    <w:rsid w:val="00C860AB"/>
    <w:rsid w:val="00C93276"/>
    <w:rsid w:val="00C97B96"/>
    <w:rsid w:val="00C97BA2"/>
    <w:rsid w:val="00CA462B"/>
    <w:rsid w:val="00CA6E6E"/>
    <w:rsid w:val="00CC6E32"/>
    <w:rsid w:val="00CD22C5"/>
    <w:rsid w:val="00CD48DB"/>
    <w:rsid w:val="00CE0698"/>
    <w:rsid w:val="00CF0575"/>
    <w:rsid w:val="00D01373"/>
    <w:rsid w:val="00D30759"/>
    <w:rsid w:val="00D43FEE"/>
    <w:rsid w:val="00D46740"/>
    <w:rsid w:val="00D53F37"/>
    <w:rsid w:val="00D62C19"/>
    <w:rsid w:val="00D63F20"/>
    <w:rsid w:val="00D738C2"/>
    <w:rsid w:val="00D81C5D"/>
    <w:rsid w:val="00D85307"/>
    <w:rsid w:val="00D95639"/>
    <w:rsid w:val="00DA30CF"/>
    <w:rsid w:val="00DA36A4"/>
    <w:rsid w:val="00DA6A19"/>
    <w:rsid w:val="00DC6787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66BC"/>
    <w:rsid w:val="00E90694"/>
    <w:rsid w:val="00E92DBA"/>
    <w:rsid w:val="00EA2208"/>
    <w:rsid w:val="00EA35CE"/>
    <w:rsid w:val="00EB4C70"/>
    <w:rsid w:val="00EB6979"/>
    <w:rsid w:val="00EC15CA"/>
    <w:rsid w:val="00EC5F1D"/>
    <w:rsid w:val="00EE2743"/>
    <w:rsid w:val="00EE2C27"/>
    <w:rsid w:val="00EF1CB0"/>
    <w:rsid w:val="00EF7248"/>
    <w:rsid w:val="00F10B69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CabealhoCarcter">
    <w:name w:val="Encabezado Car"/>
    <w:basedOn w:val="Tipodeletrapredefinidodopargrafo"/>
    <w:link w:val="Cabealho"/>
    <w:uiPriority w:val="99"/>
    <w:rsid w:val="0040727A"/>
  </w:style>
  <w:style w:type="paragraph" w:styleId="Rodap">
    <w:name w:val="footer"/>
    <w:basedOn w:val="Normal"/>
    <w:link w:val="RodapCarcte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RodapCarcter">
    <w:name w:val="Pie de página Car"/>
    <w:basedOn w:val="Tipodeletrapredefinidodopargrafo"/>
    <w:link w:val="Rodap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elacomgrelha">
    <w:name w:val="Table Grid"/>
    <w:basedOn w:val="Tabe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baloCarcter">
    <w:name w:val="Texto de globo Car"/>
    <w:basedOn w:val="Tipodeletrapredefinidodopargrafo"/>
    <w:link w:val="Textodebal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ligao">
    <w:name w:val="Hyperlink"/>
    <w:basedOn w:val="Tipodeletrapredefinidodopargrafo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caniego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EA9D-AC3D-468B-A625-1D5E69E3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2017-05-10T13:54:00Z</dcterms:created>
  <dcterms:modified xsi:type="dcterms:W3CDTF">2017-05-10T15:41:00Z</dcterms:modified>
</cp:coreProperties>
</file>